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48539" w14:textId="77777777" w:rsidR="00297ED5" w:rsidRDefault="00297ED5" w:rsidP="00297ED5">
      <w:pPr>
        <w:ind w:left="-426" w:right="-232"/>
        <w:jc w:val="both"/>
        <w:rPr>
          <w:rFonts w:ascii="Century Gothic" w:eastAsia="Times New Roman" w:hAnsi="Century Gothic" w:cs="Arial"/>
          <w:b/>
          <w:kern w:val="0"/>
          <w:lang w:eastAsia="ar-SA"/>
        </w:rPr>
      </w:pPr>
      <w:r>
        <w:rPr>
          <w:rFonts w:ascii="Century Gothic" w:eastAsia="Times New Roman" w:hAnsi="Century Gothic" w:cs="Arial"/>
          <w:b/>
          <w:lang w:eastAsia="ar-SA"/>
        </w:rPr>
        <w:t xml:space="preserve">SEGUNDA ÉPOCA </w:t>
      </w:r>
    </w:p>
    <w:p w14:paraId="0D779269" w14:textId="77777777" w:rsidR="00297ED5" w:rsidRDefault="00297ED5" w:rsidP="00297ED5">
      <w:pPr>
        <w:tabs>
          <w:tab w:val="left" w:pos="6946"/>
        </w:tabs>
        <w:ind w:left="-426" w:right="-232"/>
        <w:jc w:val="both"/>
        <w:rPr>
          <w:rFonts w:ascii="Century Gothic" w:eastAsia="Times New Roman" w:hAnsi="Century Gothic"/>
          <w:sz w:val="22"/>
          <w:szCs w:val="22"/>
          <w:lang w:eastAsia="ar-SA"/>
        </w:rPr>
      </w:pPr>
      <w:r>
        <w:rPr>
          <w:rFonts w:ascii="Century Gothic" w:eastAsia="Times New Roman" w:hAnsi="Century Gothic"/>
          <w:lang w:eastAsia="ar-SA"/>
        </w:rPr>
        <w:t>Número de Registro 5/14ORD/SS/JA</w:t>
      </w:r>
    </w:p>
    <w:p w14:paraId="3F3875B0" w14:textId="77777777" w:rsidR="00297ED5" w:rsidRDefault="00297ED5" w:rsidP="00297ED5">
      <w:pPr>
        <w:tabs>
          <w:tab w:val="left" w:pos="6946"/>
        </w:tabs>
        <w:ind w:left="-426" w:right="-232"/>
        <w:jc w:val="both"/>
        <w:rPr>
          <w:rFonts w:ascii="Century Gothic" w:eastAsia="Times New Roman" w:hAnsi="Century Gothic"/>
          <w:lang w:eastAsia="ar-SA"/>
        </w:rPr>
      </w:pPr>
      <w:r>
        <w:rPr>
          <w:rFonts w:ascii="Century Gothic" w:eastAsia="Times New Roman" w:hAnsi="Century Gothic"/>
          <w:lang w:eastAsia="ar-SA"/>
        </w:rPr>
        <w:t>Precedente</w:t>
      </w:r>
    </w:p>
    <w:p w14:paraId="7407B138" w14:textId="77777777" w:rsidR="00297ED5" w:rsidRDefault="00297ED5" w:rsidP="00297ED5">
      <w:pPr>
        <w:tabs>
          <w:tab w:val="left" w:pos="6946"/>
        </w:tabs>
        <w:ind w:left="-426" w:right="-232"/>
        <w:jc w:val="both"/>
        <w:rPr>
          <w:rFonts w:ascii="Century Gothic" w:eastAsia="Times New Roman" w:hAnsi="Century Gothic"/>
          <w:lang w:eastAsia="ar-SA"/>
        </w:rPr>
      </w:pPr>
      <w:r>
        <w:rPr>
          <w:rFonts w:ascii="Century Gothic" w:eastAsia="Times New Roman" w:hAnsi="Century Gothic"/>
          <w:lang w:eastAsia="ar-SA"/>
        </w:rPr>
        <w:t>Tomo I 2022</w:t>
      </w:r>
    </w:p>
    <w:p w14:paraId="6626B66A" w14:textId="77777777" w:rsidR="00297ED5" w:rsidRDefault="00297ED5" w:rsidP="00297ED5">
      <w:pPr>
        <w:spacing w:line="360" w:lineRule="auto"/>
        <w:ind w:left="850" w:right="1175"/>
        <w:jc w:val="right"/>
        <w:rPr>
          <w:rFonts w:ascii="Century Gothic" w:hAnsi="Century Gothic"/>
          <w:b/>
          <w:bCs/>
        </w:rPr>
      </w:pPr>
    </w:p>
    <w:p w14:paraId="7630F11F" w14:textId="77777777" w:rsidR="00297ED5" w:rsidRDefault="00297ED5" w:rsidP="00297ED5">
      <w:pPr>
        <w:spacing w:line="360" w:lineRule="auto"/>
        <w:ind w:left="850" w:right="1175"/>
        <w:jc w:val="right"/>
        <w:rPr>
          <w:rFonts w:ascii="Century Gothic" w:hAnsi="Century Gothic"/>
          <w:b/>
          <w:bCs/>
        </w:rPr>
      </w:pPr>
    </w:p>
    <w:p w14:paraId="4E9F32B0" w14:textId="77777777" w:rsidR="00297ED5" w:rsidRDefault="00297ED5" w:rsidP="00297ED5">
      <w:pPr>
        <w:spacing w:line="360" w:lineRule="auto"/>
        <w:ind w:left="-567" w:right="-374"/>
        <w:jc w:val="right"/>
        <w:rPr>
          <w:rFonts w:ascii="Century Gothic" w:hAnsi="Century Gothic"/>
          <w:b/>
          <w:bCs/>
        </w:rPr>
      </w:pPr>
      <w:r>
        <w:rPr>
          <w:rFonts w:ascii="Century Gothic" w:hAnsi="Century Gothic"/>
          <w:b/>
          <w:bCs/>
        </w:rPr>
        <w:t>Ley de Justicia Administrativa del Estado de Jalisco</w:t>
      </w:r>
    </w:p>
    <w:p w14:paraId="4C6870AA" w14:textId="77777777" w:rsidR="00297ED5" w:rsidRDefault="00297ED5" w:rsidP="00297ED5">
      <w:pPr>
        <w:tabs>
          <w:tab w:val="left" w:pos="1418"/>
        </w:tabs>
        <w:spacing w:line="360" w:lineRule="auto"/>
        <w:ind w:left="-567" w:right="-374"/>
        <w:jc w:val="both"/>
        <w:rPr>
          <w:rFonts w:ascii="Century Gothic" w:hAnsi="Century Gothic"/>
          <w:b/>
          <w:bCs/>
        </w:rPr>
      </w:pPr>
    </w:p>
    <w:p w14:paraId="5DB704B8" w14:textId="77777777" w:rsidR="00297ED5" w:rsidRDefault="00297ED5" w:rsidP="00297ED5">
      <w:pPr>
        <w:tabs>
          <w:tab w:val="left" w:pos="1418"/>
        </w:tabs>
        <w:ind w:left="-567" w:right="-374"/>
        <w:jc w:val="both"/>
        <w:rPr>
          <w:rFonts w:ascii="Century Gothic" w:hAnsi="Century Gothic"/>
        </w:rPr>
      </w:pPr>
      <w:r>
        <w:rPr>
          <w:rFonts w:ascii="Century Gothic" w:hAnsi="Century Gothic"/>
          <w:b/>
          <w:bCs/>
        </w:rPr>
        <w:t xml:space="preserve">JUICIO CONTENCIOSO ADMINISTRATIVO, ES PROCEDENTE EN CONTRA DE ACTOS ADMINISTRATIVOS RELACIONADOS CON EL REGISTRO DE BIENES INMUEBLES. </w:t>
      </w:r>
      <w:r w:rsidRPr="00123A86">
        <w:rPr>
          <w:rFonts w:ascii="Century Gothic" w:hAnsi="Century Gothic"/>
          <w:bCs/>
        </w:rPr>
        <w:t>De una interpretación a contrario sensu de lo dispuesto por el artículo</w:t>
      </w:r>
      <w:r>
        <w:rPr>
          <w:rFonts w:ascii="Century Gothic" w:hAnsi="Century Gothic"/>
          <w:b/>
          <w:bCs/>
        </w:rPr>
        <w:t xml:space="preserve"> </w:t>
      </w:r>
      <w:r>
        <w:rPr>
          <w:rFonts w:ascii="Century Gothic" w:hAnsi="Century Gothic"/>
        </w:rPr>
        <w:t>1256 del Código Civil del Estado de Jalisco, se concluye que es</w:t>
      </w:r>
      <w:r w:rsidRPr="00403F8C">
        <w:rPr>
          <w:rFonts w:ascii="Century Gothic" w:hAnsi="Century Gothic"/>
          <w:bCs/>
        </w:rPr>
        <w:t xml:space="preserve"> procedente la impugnación</w:t>
      </w:r>
      <w:r>
        <w:rPr>
          <w:rFonts w:ascii="Century Gothic" w:hAnsi="Century Gothic"/>
          <w:bCs/>
        </w:rPr>
        <w:t xml:space="preserve"> vía juicio de nulidad de actos administrativos relativos al registro de bienes inmuebles, </w:t>
      </w:r>
      <w:r>
        <w:rPr>
          <w:rFonts w:ascii="Century Gothic" w:hAnsi="Century Gothic"/>
        </w:rPr>
        <w:t>siempre y cuando la litis propuesta en el juicio de nulidad no verse sobre el ejercicio de una acción contradictoria sobre bienes inmuebles o se intente poner en duda derechos reales a favor de terceros, ya que aunque tales actos sean consecuencia de los actos traslativos de dominio que los originan, en realidad, no existe razonamiento lógico jurídico válido para concluir que la legalidad de la apertura de una cuenta catastral no pueda ser analizada de manera independiente a la legalidad del acto traslativo de dominio que le dio origen.</w:t>
      </w:r>
    </w:p>
    <w:p w14:paraId="513CF450" w14:textId="77777777" w:rsidR="00297ED5" w:rsidRDefault="00297ED5" w:rsidP="00297ED5">
      <w:pPr>
        <w:autoSpaceDE w:val="0"/>
        <w:spacing w:line="360" w:lineRule="auto"/>
        <w:ind w:left="-567" w:right="-374" w:firstLine="1413"/>
        <w:jc w:val="both"/>
        <w:rPr>
          <w:rFonts w:ascii="Century Gothic" w:hAnsi="Century Gothic"/>
        </w:rPr>
      </w:pPr>
    </w:p>
    <w:p w14:paraId="2A75895D" w14:textId="77777777" w:rsidR="00297ED5" w:rsidRDefault="00297ED5" w:rsidP="00297ED5">
      <w:pPr>
        <w:ind w:left="-567" w:right="-374"/>
        <w:jc w:val="both"/>
        <w:rPr>
          <w:rFonts w:ascii="Century Gothic" w:hAnsi="Century Gothic"/>
        </w:rPr>
      </w:pPr>
      <w:r>
        <w:rPr>
          <w:rFonts w:ascii="Century Gothic" w:hAnsi="Century Gothic"/>
        </w:rPr>
        <w:t>PRECEDENTE:</w:t>
      </w:r>
      <w:r>
        <w:rPr>
          <w:rFonts w:ascii="Century Gothic" w:hAnsi="Century Gothic"/>
        </w:rPr>
        <w:br/>
      </w:r>
      <w:r>
        <w:rPr>
          <w:rFonts w:ascii="Century Gothic" w:hAnsi="Century Gothic"/>
        </w:rPr>
        <w:br/>
        <w:t xml:space="preserve">Recurso de Reclamación Núm. 581/2022. Resuelto por la Sala Superior del Tribunal de Justicia Administrativa del Estado de Jalisco, en sesión de 16 de junio de 2022, por unanimidad de votos. Magistrado Ponente: José Ramón Jiménez Gutiérrez. Secretario: Eduardo </w:t>
      </w:r>
      <w:proofErr w:type="spellStart"/>
      <w:r>
        <w:rPr>
          <w:rFonts w:ascii="Century Gothic" w:hAnsi="Century Gothic"/>
        </w:rPr>
        <w:t>Rafols</w:t>
      </w:r>
      <w:proofErr w:type="spellEnd"/>
      <w:r>
        <w:rPr>
          <w:rFonts w:ascii="Century Gothic" w:hAnsi="Century Gothic"/>
        </w:rPr>
        <w:t xml:space="preserve"> Pérez.</w:t>
      </w:r>
    </w:p>
    <w:p w14:paraId="2C91AEFB" w14:textId="79ED990E" w:rsidR="00063C82" w:rsidRDefault="00063C82" w:rsidP="00297ED5">
      <w:pPr>
        <w:widowControl/>
        <w:suppressAutoHyphens w:val="0"/>
        <w:spacing w:after="160" w:line="259" w:lineRule="auto"/>
      </w:pPr>
    </w:p>
    <w:sectPr w:rsidR="00063C8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ED5"/>
    <w:rsid w:val="00063C82"/>
    <w:rsid w:val="00297ED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5899C"/>
  <w15:chartTrackingRefBased/>
  <w15:docId w15:val="{E17322F2-3BFD-4BF7-924B-5996E359A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7ED5"/>
    <w:pPr>
      <w:widowControl w:val="0"/>
      <w:suppressAutoHyphens/>
      <w:spacing w:after="0" w:line="240" w:lineRule="auto"/>
    </w:pPr>
    <w:rPr>
      <w:rFonts w:ascii="Times New Roman" w:eastAsia="Lucida Sans Unicode" w:hAnsi="Times New Roman" w:cs="Times New Roman"/>
      <w:kern w:val="1"/>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1139</Characters>
  <Application>Microsoft Office Word</Application>
  <DocSecurity>0</DocSecurity>
  <Lines>9</Lines>
  <Paragraphs>2</Paragraphs>
  <ScaleCrop>false</ScaleCrop>
  <Company/>
  <LinksUpToDate>false</LinksUpToDate>
  <CharactersWithSpaces>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Rosalba Gaytan Padilla</dc:creator>
  <cp:keywords/>
  <dc:description/>
  <cp:lastModifiedBy>Rosalba Gaytan Padilla</cp:lastModifiedBy>
  <cp:revision>1</cp:revision>
  <dcterms:created xsi:type="dcterms:W3CDTF">2023-02-03T16:23:00Z</dcterms:created>
  <dcterms:modified xsi:type="dcterms:W3CDTF">2023-02-03T16:23:00Z</dcterms:modified>
</cp:coreProperties>
</file>